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BK_A 036/04 vom 30. April 2004</w:t>
      </w:r>
    </w:p>
    <w:p>
      <w:r>
        <w:t>Bundesstrafgericht, 2004-04-30, DE</w:t>
      </w:r>
    </w:p>
    <w:p>
      <w:r>
        <w:rPr>
          <w:b/>
        </w:rPr>
        <w:t xml:space="preserve">Quelle: </w:t>
      </w:r>
      <w:r>
        <w:t>https://mcp.opencaselaw.ch/entscheid/bstger_BK_A 036_04</w:t>
      </w:r>
    </w:p>
    <w:p>
      <w:r>
        <w:t>FR: TPF BK_A 036/04 du 30 avril 2004</w:t>
      </w:r>
    </w:p>
    <w:p>
      <w:r>
        <w:t>IT: TPF BK_A 036/04 del 30 aprile 2004</w:t>
      </w:r>
    </w:p>
    <w:p>
      <w:pPr>
        <w:pStyle w:val="Heading2"/>
      </w:pPr>
      <w:r>
        <w:t>Regeste</w:t>
      </w:r>
    </w:p>
    <w:p>
      <w:r>
        <w:t>Entbindung vom Amtsgeheimnis</w:t>
      </w:r>
    </w:p>
    <w:p>
      <w:pPr>
        <w:pStyle w:val="Heading2"/>
      </w:pPr>
      <w:r>
        <w:t>Erwägungen</w:t>
      </w:r>
    </w:p>
    <w:p>
      <w:r>
        <w:rPr>
          <w:b/>
        </w:rPr>
        <w:t>E. 1</w:t>
      </w:r>
    </w:p>
    <w:p>
      <w:r>
        <w:t>Gemäss Art. 320 Ziff. 2 StGB ist der Amtsgeheimnisträger nicht strafbar, wenn er das Geheimnis mit schriftlicher Einwilligung seiner vorgesetzten Behörde offenbart. Wer die vorgesetzte Behörde ist, ist nach Verwaltungs- bzw. Organisationsrecht zu entscheiden (TRECHSEL, Kurzkommentar,</w:t>
      </w:r>
    </w:p>
    <w:p>
      <w:r>
        <w:rPr>
          <w:b/>
        </w:rPr>
        <w:t>E. 2</w:t>
      </w:r>
    </w:p>
    <w:p>
      <w:r>
        <w:t>Aufl., Bern 1997, N 12 zu Art. 320 StGB; BSK StGB II-OBERHOLZER, Ba- sel 2003, Art. 320 N 14).</w:t>
      </w:r>
    </w:p>
    <w:p>
      <w:r>
        <w:t>Die Bundesanwaltschaft steht administrativ unter der Aufsicht des Bundes- rates (Art. 14 BStP). Dies bedeutet indessen nicht, dass dem Bundesrat die Kompetenz zur Entbindung des Bundesanwaltes vom Amtsgeheimnis nicht zustehen würde (in diesem Sinne BÄNZIGER/LEIMGRUBER, Das neue Enga- gement des Bundes in der Strafverfolgung, Bern 2001, N 172). Art. 94 Abs.</w:t>
      </w:r>
    </w:p>
    <w:p>
      <w:r>
        <w:t>- 3 -</w:t>
      </w:r>
    </w:p>
    <w:p>
      <w:r>
        <w:rPr>
          <w:b/>
        </w:rPr>
        <w:t>E. 3</w:t>
      </w:r>
    </w:p>
    <w:p>
      <w:r>
        <w:t>i.V.m. Art. 2 BPV sieht denn auch ausdrücklich vor, dass der Bundesrat den Bundesanwalt, die Staatsanwälte des Bundes und deren Stellvertreter ermächtigen kann, als Partei, Zeugen oder gerichtliche Sachverständige über Wahrnehmungen, die sie auf Grund ihrer Aufgaben oder in Ausübung ihrer Funktion gemacht haben, und die sich auf ihre dienstlichen Aufgaben beziehen, zu äussern. Demgemäss liegt die Zuständigkeit zur Entbindung eines Staatsanwaltes des Bundes von der Wahrung des Amtsgeheimnis- ses beim Bundesrat, weshalb auf das vorliegende Gesuch vom 29. April 2004 nicht eingetreten werden kann (anders noch der Entscheid der Ankla- gekammer des Bundesgerichts vom 4. September 2002 [8G.98/2002]).</w:t>
      </w:r>
    </w:p>
    <w:p>
      <w:r>
        <w:t>Mit den vorstehenden Ausführungen ist auch gesagt, dass die Entbindung vom Amtsgeheimnis nicht unter eine allfällige Aufsichtsfunktion der Be- schwerdekammer über die Tätigkeit der Bundesanwaltschaft im Rahmen des gerichtspolizeilichen Ermittlungsverfahrens und in der Voruntersuchung in Bundesstrafsachen fallen würde (ob und – bejahendenfalls – in welchem Umfang eine solche Aufsicht im Lichte von Art. 28 Abs. 2 SGG sowie mit Blick auf Art. 11 aBStP besteht, braucht zum jetzigen Zeitpunkt indes nicht beurteilt zu werden). Wollte man anders entscheiden, hätte dies zur Folge, dass die Beschwerdekammer für die Amtsgeheimnisentbindung des Bun- desanwalts, der Staatsanwälte des Bundes und deren Stellvertreter immer dann zuständig wäre, wenn sich letztere über Wahrnehmungen im Zu- sammenhang mit einem gerichtspolizeilichen Ermittlungsverfahren bzw. ei- ner Voruntersuchung in Bundesstrafsachen zu äussern hätten. Damit wür- de aber die Regelung in Art. 94 Abs. 3 i.V.m. Art. 2 BPV ihres Sinnes be- raubt, sind doch kaum Fälle vorstellbar, in welchen die vorerwähnten Per- sonen über „Wahrnehmungen, die sie auf Grund ihrer Aufgaben oder in Ausübung ihrer Funktion gemacht haben und die sich auf ihre dienstlichen Aufgaben beziehen“ (Art. 94 Abs. 3 BPV), aussagen sollen, die nicht in Verbindung mit einem gerichtspolizeilichen Ermittlungsverfahren oder einer Voruntersuchung stehen. Ein derartig komplizierte und unzweckmässige Regelung dürfte kaum dem Willen des Gesetzgebers entsprechen. Viel- mehr ist anzunehmen, dass mit Erlass der BPV, welche am 1. Januar 2002 in Kraft getreten ist, in allgemeiner Weise den Bundesrat für die Entbindung des Bundesanwalts, der Staatsanwälte des Bundes und deren Stellvertre- ter vom Amtsgeheimnis für zuständig erklärt werden sollte. Dem entspricht, dass bei einer Amtsgeheimnisentbindung unter Umständen Interessenab- wägungen vorgenommen werden müssen, die nicht allein strafverfolgungs- rechtlichen Gesichtspunkten zu genügen haben. Auch in dieser Hinsicht erscheint die Zuständigkeit des Bundesrates sachlich gerechtfertigt.</w:t>
      </w:r>
    </w:p>
    <w:p>
      <w:r>
        <w:t>- 4 - 2. 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